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F6FD8" w14:textId="77777777" w:rsidR="003C69C1" w:rsidRDefault="003C69C1" w:rsidP="00450EC8">
      <w:pPr>
        <w:spacing w:after="0"/>
        <w:rPr>
          <w:rFonts w:cs="Arial"/>
          <w:b/>
          <w:bCs/>
          <w:noProof/>
          <w:color w:val="A1C9ED"/>
          <w:sz w:val="28"/>
          <w:szCs w:val="28"/>
        </w:rPr>
      </w:pPr>
      <w:bookmarkStart w:id="0" w:name="_GoBack"/>
    </w:p>
    <w:p w14:paraId="639678BD" w14:textId="692CD71F" w:rsidR="00FD4036" w:rsidRPr="00FD4036" w:rsidRDefault="009A5613" w:rsidP="00450EC8">
      <w:pPr>
        <w:spacing w:after="0"/>
        <w:rPr>
          <w:rFonts w:cs="Arial"/>
          <w:b/>
          <w:bCs/>
          <w:noProof/>
          <w:color w:val="A1C9ED"/>
          <w:sz w:val="28"/>
          <w:szCs w:val="28"/>
        </w:rPr>
      </w:pPr>
      <w:r w:rsidRPr="009A5613">
        <w:rPr>
          <w:rFonts w:cs="Arial"/>
          <w:b/>
          <w:bCs/>
          <w:noProof/>
          <w:color w:val="A1C9ED"/>
          <w:sz w:val="28"/>
          <w:szCs w:val="28"/>
        </w:rPr>
        <w:t>Interoperabilität: Ausgangspunkt für Digitalisierung in der Medizin</w:t>
      </w:r>
    </w:p>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5A66F6AB" w14:textId="77777777" w:rsidTr="006232F2">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6232F2" w:rsidRPr="009D1F5F" w14:paraId="200254F5" w14:textId="77777777">
              <w:trPr>
                <w:tblCellSpacing w:w="0" w:type="dxa"/>
              </w:trPr>
              <w:tc>
                <w:tcPr>
                  <w:tcW w:w="0" w:type="auto"/>
                  <w:tcMar>
                    <w:top w:w="75" w:type="dxa"/>
                    <w:left w:w="75" w:type="dxa"/>
                    <w:bottom w:w="75" w:type="dxa"/>
                    <w:right w:w="75" w:type="dxa"/>
                  </w:tcMar>
                  <w:hideMark/>
                </w:tcPr>
                <w:bookmarkEnd w:id="0"/>
                <w:p w14:paraId="7A24FE05" w14:textId="052F9D76" w:rsidR="009D1F5F" w:rsidRDefault="00547223" w:rsidP="009A5613">
                  <w:pPr>
                    <w:jc w:val="both"/>
                    <w:rPr>
                      <w:rFonts w:eastAsia="Times New Roman" w:cs="Arial"/>
                      <w:bCs/>
                      <w:color w:val="000000" w:themeColor="text1"/>
                    </w:rPr>
                  </w:pPr>
                  <w:r w:rsidRPr="009D1F5F">
                    <w:rPr>
                      <w:rFonts w:cs="Arial"/>
                      <w:noProof/>
                      <w:color w:val="A1C9ED"/>
                      <w:sz w:val="32"/>
                      <w:szCs w:val="32"/>
                    </w:rPr>
                    <mc:AlternateContent>
                      <mc:Choice Requires="wps">
                        <w:drawing>
                          <wp:anchor distT="4294967292" distB="4294967292" distL="114300" distR="114300" simplePos="0" relativeHeight="251657216" behindDoc="0" locked="0" layoutInCell="1" allowOverlap="1" wp14:anchorId="0BDE55D6" wp14:editId="45E8B149">
                            <wp:simplePos x="0" y="0"/>
                            <wp:positionH relativeFrom="column">
                              <wp:posOffset>-42545</wp:posOffset>
                            </wp:positionH>
                            <wp:positionV relativeFrom="paragraph">
                              <wp:posOffset>13335</wp:posOffset>
                            </wp:positionV>
                            <wp:extent cx="5715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28575">
                                      <a:solidFill>
                                        <a:schemeClr val="dk1">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46BAAD" id="_x0000_t32" coordsize="21600,21600" o:spt="32" o:oned="t" path="m,l21600,21600e" filled="f">
                            <v:path arrowok="t" fillok="f" o:connecttype="none"/>
                            <o:lock v:ext="edit" shapetype="t"/>
                          </v:shapetype>
                          <v:shape id="AutoShape 3" o:spid="_x0000_s1026" type="#_x0000_t32" style="position:absolute;margin-left:-3.35pt;margin-top:1.05pt;width:450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" strokecolor="#666 [1936]" strokeweight="2.25pt">
                            <v:shadow color="#7f7f7f [1601]" opacity=".5" offset="1pt"/>
                          </v:shape>
                        </w:pict>
                      </mc:Fallback>
                    </mc:AlternateContent>
                  </w:r>
                </w:p>
                <w:p w14:paraId="796D538D" w14:textId="77777777" w:rsidR="009A5613" w:rsidRDefault="009A5613" w:rsidP="009A5613">
                  <w:pPr>
                    <w:spacing w:after="160" w:line="259" w:lineRule="auto"/>
                    <w:jc w:val="both"/>
                    <w:rPr>
                      <w:rFonts w:ascii="Calibri" w:eastAsia="Calibri" w:hAnsi="Calibri" w:cs="Times New Roman"/>
                      <w:b/>
                      <w:color w:val="7F7F7F" w:themeColor="text1" w:themeTint="80"/>
                      <w:sz w:val="20"/>
                      <w:lang w:eastAsia="en-US"/>
                    </w:rPr>
                  </w:pPr>
                  <w:r w:rsidRPr="009A5613">
                    <w:rPr>
                      <w:rFonts w:ascii="Calibri" w:eastAsia="Calibri" w:hAnsi="Calibri" w:cs="Times New Roman"/>
                      <w:b/>
                      <w:color w:val="7F7F7F" w:themeColor="text1" w:themeTint="80"/>
                      <w:sz w:val="20"/>
                      <w:lang w:eastAsia="en-US"/>
                    </w:rPr>
                    <w:t xml:space="preserve">Berlin, 17.10.2018: Unter dem Motto „Interoperabilität für medizinische Versorgung und Forschung“ kamen am 8. Oktober 2018 über 160 Teilnehmer zum 3. Deutschen Interoperabilitätstag (DIT) nach Berlin und zeigten, wie stark die Forderung nach konsequentem, zielgerichtetem Austausch der Behandelnden im Rahmen der Patientenversorgung ist. Prof. Dr. med. Gernot Marx, FRCA, Vorstandsvorsitzende der Deutschen Gesellschaft für Telemedizin und Mitglied im Fachforum Telemedizin der ZTG Zentrum für Telematik und Telemedizin GmbH, brachte die oftmals noch vernachlässigte Perspektive der Telemedizin in die Diskussion ein. </w:t>
                  </w:r>
                </w:p>
                <w:p w14:paraId="7F3ED50F" w14:textId="77777777" w:rsidR="009A5613" w:rsidRDefault="009A5613" w:rsidP="009A5613">
                  <w:pPr>
                    <w:spacing w:after="160" w:line="259" w:lineRule="auto"/>
                    <w:rPr>
                      <w:rFonts w:ascii="Calibri" w:eastAsia="Calibri" w:hAnsi="Calibri" w:cs="Times New Roman"/>
                      <w:lang w:eastAsia="en-US"/>
                    </w:rPr>
                  </w:pPr>
                </w:p>
                <w:p w14:paraId="22F5328B" w14:textId="722B3937" w:rsidR="001B06F3" w:rsidRPr="001B06F3" w:rsidRDefault="009A5613" w:rsidP="009A5613">
                  <w:pPr>
                    <w:spacing w:after="160" w:line="259" w:lineRule="auto"/>
                    <w:rPr>
                      <w:rFonts w:ascii="Calibri" w:eastAsia="Calibri" w:hAnsi="Calibri" w:cs="Times New Roman"/>
                      <w:lang w:eastAsia="en-US"/>
                    </w:rPr>
                  </w:pPr>
                  <w:r>
                    <w:rPr>
                      <w:noProof/>
                    </w:rPr>
                    <w:drawing>
                      <wp:inline distT="0" distB="0" distL="0" distR="0" wp14:anchorId="4A9878F5" wp14:editId="7AD1BC8A">
                        <wp:extent cx="5180777" cy="3449120"/>
                        <wp:effectExtent l="0" t="0" r="127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1091" cy="3455987"/>
                                </a:xfrm>
                                <a:prstGeom prst="rect">
                                  <a:avLst/>
                                </a:prstGeom>
                                <a:noFill/>
                                <a:ln>
                                  <a:noFill/>
                                </a:ln>
                              </pic:spPr>
                            </pic:pic>
                          </a:graphicData>
                        </a:graphic>
                      </wp:inline>
                    </w:drawing>
                  </w:r>
                </w:p>
                <w:p w14:paraId="3C560FE4" w14:textId="288097D0" w:rsidR="001B06F3" w:rsidRDefault="009A5613" w:rsidP="001B06F3">
                  <w:pPr>
                    <w:spacing w:after="160" w:line="259" w:lineRule="auto"/>
                    <w:jc w:val="both"/>
                    <w:rPr>
                      <w:rFonts w:ascii="Calibri" w:eastAsia="Calibri" w:hAnsi="Calibri" w:cs="Times New Roman"/>
                      <w:i/>
                      <w:sz w:val="18"/>
                      <w:lang w:eastAsia="en-US"/>
                    </w:rPr>
                  </w:pPr>
                  <w:r w:rsidRPr="009A5613">
                    <w:rPr>
                      <w:rFonts w:ascii="Calibri" w:eastAsia="Calibri" w:hAnsi="Calibri" w:cs="Times New Roman"/>
                      <w:i/>
                      <w:sz w:val="18"/>
                      <w:lang w:eastAsia="en-US"/>
                    </w:rPr>
                    <w:t xml:space="preserve">Diskussionsrunde „Interoperabilität per Gesetz – Welche Instrumente braucht es für den Erfolg?“ beim 3. Deutschen Interoperabilitätstag in Berlin: v.l.n.r. Willi Roos (Kassenärztliche Bundesvereinigung), Andreas </w:t>
                  </w:r>
                  <w:proofErr w:type="spellStart"/>
                  <w:r w:rsidRPr="009A5613">
                    <w:rPr>
                      <w:rFonts w:ascii="Calibri" w:eastAsia="Calibri" w:hAnsi="Calibri" w:cs="Times New Roman"/>
                      <w:i/>
                      <w:sz w:val="18"/>
                      <w:lang w:eastAsia="en-US"/>
                    </w:rPr>
                    <w:t>Grode</w:t>
                  </w:r>
                  <w:proofErr w:type="spellEnd"/>
                  <w:r w:rsidRPr="009A5613">
                    <w:rPr>
                      <w:rFonts w:ascii="Calibri" w:eastAsia="Calibri" w:hAnsi="Calibri" w:cs="Times New Roman"/>
                      <w:i/>
                      <w:sz w:val="18"/>
                      <w:lang w:eastAsia="en-US"/>
                    </w:rPr>
                    <w:t xml:space="preserve"> (gematik), Prof. Dr. med. Gernot Marx (DGTelemed), Heike Moser (DIN Deutsches Institut für Normung) Bildquelle: ZTG GmbH</w:t>
                  </w:r>
                  <w:r w:rsidRPr="009A5613">
                    <w:rPr>
                      <w:rFonts w:ascii="Calibri" w:eastAsia="Calibri" w:hAnsi="Calibri" w:cs="Times New Roman"/>
                      <w:i/>
                      <w:sz w:val="18"/>
                      <w:lang w:eastAsia="en-US"/>
                    </w:rPr>
                    <w:t xml:space="preserve"> </w:t>
                  </w:r>
                </w:p>
                <w:p w14:paraId="684CC7AC" w14:textId="77777777" w:rsidR="009A5613" w:rsidRPr="001B06F3" w:rsidRDefault="009A5613" w:rsidP="001B06F3">
                  <w:pPr>
                    <w:spacing w:after="160" w:line="259" w:lineRule="auto"/>
                    <w:jc w:val="both"/>
                    <w:rPr>
                      <w:rFonts w:ascii="Calibri" w:eastAsia="Calibri" w:hAnsi="Calibri" w:cs="Times New Roman"/>
                      <w:i/>
                      <w:sz w:val="18"/>
                      <w:lang w:eastAsia="en-US"/>
                    </w:rPr>
                  </w:pPr>
                </w:p>
                <w:p w14:paraId="7A3B3670" w14:textId="77777777" w:rsidR="009A5613" w:rsidRPr="009A561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 xml:space="preserve">Telemedizinische Verfahren können einen Beitrag dazu leisten, eine qualitativ hochwertige, finanzierbare Behandlungsqualität sicherzustellen. Kompatibilität zwischen den an der Versorgung beteiligten IT-Systemen ist eine grundlegende Voraussetzung für den reibungslosen Daten- und Informationsaustausch und damit für einen optimalen Ablauf im medizinischen Alltag. Die Systeme müssen auf weithin anerkannte, angewandte Muster (Standards) zurückgreifen, um miteinander arbeiten zu können. Verglichen mit anderen Ländern ist die Akzeptanz von Standards in Deutschland </w:t>
                  </w:r>
                  <w:r w:rsidRPr="009A5613">
                    <w:rPr>
                      <w:rFonts w:ascii="Calibri" w:eastAsia="Calibri" w:hAnsi="Calibri" w:cs="Times New Roman"/>
                      <w:lang w:eastAsia="en-US"/>
                    </w:rPr>
                    <w:lastRenderedPageBreak/>
                    <w:t>eher gering. Der Gesetzgeber müsse seine Verantwortung an dieser Stelle viel stärker wahrnehmen, so ein Fazit der Tagung.</w:t>
                  </w:r>
                </w:p>
                <w:p w14:paraId="4CA46A1C" w14:textId="77777777" w:rsidR="009A5613" w:rsidRPr="009A561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 xml:space="preserve">Dass auch durch den Aufbau der </w:t>
                  </w:r>
                  <w:proofErr w:type="spellStart"/>
                  <w:r w:rsidRPr="009A5613">
                    <w:rPr>
                      <w:rFonts w:ascii="Calibri" w:eastAsia="Calibri" w:hAnsi="Calibri" w:cs="Times New Roman"/>
                      <w:lang w:eastAsia="en-US"/>
                    </w:rPr>
                    <w:t>Telematikinfrastruktur</w:t>
                  </w:r>
                  <w:proofErr w:type="spellEnd"/>
                  <w:r w:rsidRPr="009A5613">
                    <w:rPr>
                      <w:rFonts w:ascii="Calibri" w:eastAsia="Calibri" w:hAnsi="Calibri" w:cs="Times New Roman"/>
                      <w:lang w:eastAsia="en-US"/>
                    </w:rPr>
                    <w:t xml:space="preserve"> (TI) aus Sicht der Telemedizin Fragen offenbleiben, gab Prof. Dr. med. Gernot Marx zu bedenken. Besonders problematisch sei, dass die Telemedizin kein Bestandteil der TI ist, so Marx im Rahmen der Diskussionsrunde „Interoperabilität per Gesetz – Welche Instrumente braucht es für den Erfolg?“. Gerade die Telemedizin erzeuge wie wohl kein anderer Anwendungsbereich medizinischen Nutzen und stelle den Patienten in den Mittelpunkt. Der Handlungsbedarf sei offensichtlich. </w:t>
                  </w:r>
                </w:p>
                <w:p w14:paraId="5A87A516" w14:textId="77777777" w:rsidR="009A5613" w:rsidRPr="009A561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 xml:space="preserve">Die DGTelemed hat daher beschlossen, ein Positionspapier zum Thema zu entwickeln. Als Vorbild sollen europäische Nachbarstaaten dienen, die Lösungen in einer Art Bundesnetzagentur gefunden haben. Unterstützung hat die DGTelemed bei den Firmen </w:t>
                  </w:r>
                  <w:proofErr w:type="spellStart"/>
                  <w:r w:rsidRPr="009A5613">
                    <w:rPr>
                      <w:rFonts w:ascii="Calibri" w:eastAsia="Calibri" w:hAnsi="Calibri" w:cs="Times New Roman"/>
                      <w:lang w:eastAsia="en-US"/>
                    </w:rPr>
                    <w:t>Tiani</w:t>
                  </w:r>
                  <w:proofErr w:type="spellEnd"/>
                  <w:r w:rsidRPr="009A5613">
                    <w:rPr>
                      <w:rFonts w:ascii="Calibri" w:eastAsia="Calibri" w:hAnsi="Calibri" w:cs="Times New Roman"/>
                      <w:lang w:eastAsia="en-US"/>
                    </w:rPr>
                    <w:t xml:space="preserve"> Spirit (Österreich) und </w:t>
                  </w:r>
                  <w:proofErr w:type="spellStart"/>
                  <w:r w:rsidRPr="009A5613">
                    <w:rPr>
                      <w:rFonts w:ascii="Calibri" w:eastAsia="Calibri" w:hAnsi="Calibri" w:cs="Times New Roman"/>
                      <w:lang w:eastAsia="en-US"/>
                    </w:rPr>
                    <w:t>Vanad</w:t>
                  </w:r>
                  <w:proofErr w:type="spellEnd"/>
                  <w:r w:rsidRPr="009A5613">
                    <w:rPr>
                      <w:rFonts w:ascii="Calibri" w:eastAsia="Calibri" w:hAnsi="Calibri" w:cs="Times New Roman"/>
                      <w:lang w:eastAsia="en-US"/>
                    </w:rPr>
                    <w:t xml:space="preserve"> </w:t>
                  </w:r>
                  <w:proofErr w:type="spellStart"/>
                  <w:r w:rsidRPr="009A5613">
                    <w:rPr>
                      <w:rFonts w:ascii="Calibri" w:eastAsia="Calibri" w:hAnsi="Calibri" w:cs="Times New Roman"/>
                      <w:lang w:eastAsia="en-US"/>
                    </w:rPr>
                    <w:t>Enovation</w:t>
                  </w:r>
                  <w:proofErr w:type="spellEnd"/>
                  <w:r w:rsidRPr="009A5613">
                    <w:rPr>
                      <w:rFonts w:ascii="Calibri" w:eastAsia="Calibri" w:hAnsi="Calibri" w:cs="Times New Roman"/>
                      <w:lang w:eastAsia="en-US"/>
                    </w:rPr>
                    <w:t xml:space="preserve"> (Niederlande) gefunden. Diese vermittelten Kontakte zu Experten aus Österreich (Dr. Konradin Maier, ELGA) und den Niederlanden (Michiel Sprenger, </w:t>
                  </w:r>
                  <w:proofErr w:type="spellStart"/>
                  <w:r w:rsidRPr="009A5613">
                    <w:rPr>
                      <w:rFonts w:ascii="Calibri" w:eastAsia="Calibri" w:hAnsi="Calibri" w:cs="Times New Roman"/>
                      <w:lang w:eastAsia="en-US"/>
                    </w:rPr>
                    <w:t>Nictiz</w:t>
                  </w:r>
                  <w:proofErr w:type="spellEnd"/>
                  <w:r w:rsidRPr="009A5613">
                    <w:rPr>
                      <w:rFonts w:ascii="Calibri" w:eastAsia="Calibri" w:hAnsi="Calibri" w:cs="Times New Roman"/>
                      <w:lang w:eastAsia="en-US"/>
                    </w:rPr>
                    <w:t xml:space="preserve">), die den politisch geschaffenen Rahmen in ihren Ländern skizzierten. Zur Vorbereitung des Positionspapiers veranstaltete die DGTelemed am 26.09.2018 einen Parlamentarischen Abend in Berlin. Unter dem Motto „Interoperabilität: Ausgangspunkt für Digitalisierung in der Medizin“ diskutierten die o.g. Experten mit Mitgliedern der Ausschüsse für Gesundheit und Digitales im Deutschen Bundestag. </w:t>
                  </w:r>
                </w:p>
                <w:p w14:paraId="20D532EE" w14:textId="77777777" w:rsidR="009A5613" w:rsidRPr="009A561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„Um die Digitalisierung in der Medizin zu fördern und damit den Nutzen der Telemedizin zu erschließen, müssen kurzfristig geeignete technische und ökonomische Rahmenbedingungen geschaffen werden“, forderte Marx im Rahmen des DIT. „Vor allem proprietäre Datenformate führen zu Parallelsystemen und sehr aufwendiger Datenintegration. Beides verhindert effiziente Marktstrukturen und die Verbreitung telemedizinischer Lösungen.“ Im E-Health-Gesetz sei zwar mit dem Interoperabilitätsverzeichnis ein Verfahren zur Bestimmung erforderlicher Festlegungen vorgegeben worden. Diese seien aber nur für die definierten Anwendungen der TI verbindlich. Telemedizin gehöre nicht dazu. Der Gesetzgeber sollte daher laut DGTelemed folgende Punkte aufgreifen:</w:t>
                  </w:r>
                </w:p>
                <w:p w14:paraId="2E0FAA8E" w14:textId="77777777" w:rsidR="009A5613" w:rsidRPr="009A561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1.</w:t>
                  </w:r>
                  <w:r w:rsidRPr="009A5613">
                    <w:rPr>
                      <w:rFonts w:ascii="Calibri" w:eastAsia="Calibri" w:hAnsi="Calibri" w:cs="Times New Roman"/>
                      <w:lang w:eastAsia="en-US"/>
                    </w:rPr>
                    <w:tab/>
                    <w:t>Verbindliche Regelungen auf Ebene der Datenformate bei Medizingeräten, Laborsystemen, Medizinsoftware etc., z. B. Verpflichtung der Hersteller zur Offenlegung der Datenformate</w:t>
                  </w:r>
                </w:p>
                <w:p w14:paraId="2A0ED81D" w14:textId="77777777" w:rsidR="009A5613" w:rsidRPr="009A561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2.</w:t>
                  </w:r>
                  <w:r w:rsidRPr="009A5613">
                    <w:rPr>
                      <w:rFonts w:ascii="Calibri" w:eastAsia="Calibri" w:hAnsi="Calibri" w:cs="Times New Roman"/>
                      <w:lang w:eastAsia="en-US"/>
                    </w:rPr>
                    <w:tab/>
                    <w:t xml:space="preserve">Nutzung von IHE-Profilen und darin festgelegter Standards (HL7, FHIR, </w:t>
                  </w:r>
                  <w:proofErr w:type="spellStart"/>
                  <w:r w:rsidRPr="009A5613">
                    <w:rPr>
                      <w:rFonts w:ascii="Calibri" w:eastAsia="Calibri" w:hAnsi="Calibri" w:cs="Times New Roman"/>
                      <w:lang w:eastAsia="en-US"/>
                    </w:rPr>
                    <w:t>Dicom</w:t>
                  </w:r>
                  <w:proofErr w:type="spellEnd"/>
                  <w:r w:rsidRPr="009A5613">
                    <w:rPr>
                      <w:rFonts w:ascii="Calibri" w:eastAsia="Calibri" w:hAnsi="Calibri" w:cs="Times New Roman"/>
                      <w:lang w:eastAsia="en-US"/>
                    </w:rPr>
                    <w:t xml:space="preserve"> etc.) </w:t>
                  </w:r>
                </w:p>
                <w:p w14:paraId="168591CD" w14:textId="77777777" w:rsidR="009A5613" w:rsidRPr="009A561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3.</w:t>
                  </w:r>
                  <w:r w:rsidRPr="009A5613">
                    <w:rPr>
                      <w:rFonts w:ascii="Calibri" w:eastAsia="Calibri" w:hAnsi="Calibri" w:cs="Times New Roman"/>
                      <w:lang w:eastAsia="en-US"/>
                    </w:rPr>
                    <w:tab/>
                    <w:t xml:space="preserve">Finanzielle Anreizsysteme für die digitale Versorgung, z. B. ein zeitlich befristeter Kommunikationszuschlag (stationär als erhöhte Fallpauschale; ambulant als zusätzliche Abrechnungskennziffer etc.) </w:t>
                  </w:r>
                </w:p>
                <w:p w14:paraId="1D8C98C1" w14:textId="44F148D3" w:rsidR="001B06F3" w:rsidRDefault="009A5613" w:rsidP="009A5613">
                  <w:pPr>
                    <w:spacing w:after="160" w:line="259" w:lineRule="auto"/>
                    <w:jc w:val="both"/>
                    <w:rPr>
                      <w:rFonts w:ascii="Calibri" w:eastAsia="Calibri" w:hAnsi="Calibri" w:cs="Times New Roman"/>
                      <w:lang w:eastAsia="en-US"/>
                    </w:rPr>
                  </w:pPr>
                  <w:r w:rsidRPr="009A5613">
                    <w:rPr>
                      <w:rFonts w:ascii="Calibri" w:eastAsia="Calibri" w:hAnsi="Calibri" w:cs="Times New Roman"/>
                      <w:lang w:eastAsia="en-US"/>
                    </w:rPr>
                    <w:t>Das ausführliche Positionspapier zum Thema „Interoperabilität und Telemedizin“ wird beim Nationalen Fachkongress Telemedizin der DGTelemed am 03./04.12.2018 in Berlin vorgestellt</w:t>
                  </w:r>
                  <w:r>
                    <w:rPr>
                      <w:rFonts w:ascii="Calibri" w:eastAsia="Calibri" w:hAnsi="Calibri" w:cs="Times New Roman"/>
                      <w:lang w:eastAsia="en-US"/>
                    </w:rPr>
                    <w:t>.</w:t>
                  </w:r>
                </w:p>
                <w:p w14:paraId="65B30637" w14:textId="28C1BDD3" w:rsidR="00F24CF7" w:rsidRPr="003D7998" w:rsidRDefault="00F24CF7" w:rsidP="00904AAC">
                  <w:pPr>
                    <w:rPr>
                      <w:rFonts w:eastAsia="Times New Roman" w:cs="Arial"/>
                      <w:color w:val="000000" w:themeColor="text1"/>
                    </w:rPr>
                  </w:pPr>
                </w:p>
              </w:tc>
            </w:tr>
          </w:tbl>
          <w:p w14:paraId="148200D7" w14:textId="77777777" w:rsidR="006232F2" w:rsidRPr="009D1F5F" w:rsidRDefault="006232F2">
            <w:pPr>
              <w:rPr>
                <w:rFonts w:eastAsia="Times New Roman"/>
                <w:sz w:val="20"/>
                <w:szCs w:val="20"/>
              </w:rPr>
            </w:pPr>
          </w:p>
        </w:tc>
      </w:tr>
      <w:tr w:rsidR="009A5613" w:rsidRPr="009D1F5F" w14:paraId="1068770D" w14:textId="77777777" w:rsidTr="006232F2">
        <w:trPr>
          <w:tblCellSpacing w:w="0" w:type="dxa"/>
        </w:trPr>
        <w:tc>
          <w:tcPr>
            <w:tcW w:w="0" w:type="auto"/>
          </w:tcPr>
          <w:p w14:paraId="67CE48FB" w14:textId="77777777" w:rsidR="009A5613" w:rsidRDefault="009A5613" w:rsidP="00450EC8">
            <w:pPr>
              <w:rPr>
                <w:rFonts w:cs="Arial"/>
                <w:noProof/>
                <w:color w:val="A1C9ED"/>
                <w:sz w:val="32"/>
                <w:szCs w:val="32"/>
              </w:rPr>
            </w:pPr>
          </w:p>
          <w:p w14:paraId="010E399E" w14:textId="77777777" w:rsidR="009A5613" w:rsidRDefault="009A5613" w:rsidP="00450EC8">
            <w:pPr>
              <w:rPr>
                <w:rFonts w:cs="Arial"/>
                <w:noProof/>
                <w:color w:val="A1C9ED"/>
                <w:sz w:val="32"/>
                <w:szCs w:val="32"/>
              </w:rPr>
            </w:pPr>
          </w:p>
          <w:p w14:paraId="14C6243A" w14:textId="6FD2B247" w:rsidR="009A5613" w:rsidRPr="009D1F5F" w:rsidRDefault="009A5613" w:rsidP="00450EC8">
            <w:pPr>
              <w:rPr>
                <w:rFonts w:cs="Arial"/>
                <w:noProof/>
                <w:color w:val="A1C9ED"/>
                <w:sz w:val="32"/>
                <w:szCs w:val="32"/>
              </w:rPr>
            </w:pPr>
          </w:p>
        </w:tc>
      </w:tr>
    </w:tbl>
    <w:p w14:paraId="249539FD" w14:textId="77777777" w:rsidR="00964A09" w:rsidRDefault="00964A09" w:rsidP="00F70363"/>
    <w:sectPr w:rsidR="00964A09" w:rsidSect="00450EC8">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67EC4" w14:textId="77777777" w:rsidR="000D5436" w:rsidRDefault="000D5436" w:rsidP="001C644A">
      <w:pPr>
        <w:spacing w:after="0" w:line="240" w:lineRule="auto"/>
      </w:pPr>
      <w:r>
        <w:separator/>
      </w:r>
    </w:p>
  </w:endnote>
  <w:endnote w:type="continuationSeparator" w:id="0">
    <w:p w14:paraId="7673A8A2" w14:textId="77777777" w:rsidR="000D5436" w:rsidRDefault="000D5436" w:rsidP="001C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A93F6" w14:textId="77777777" w:rsidR="000D5436" w:rsidRDefault="000D5436" w:rsidP="001C644A">
      <w:pPr>
        <w:spacing w:after="0" w:line="240" w:lineRule="auto"/>
      </w:pPr>
      <w:r>
        <w:separator/>
      </w:r>
    </w:p>
  </w:footnote>
  <w:footnote w:type="continuationSeparator" w:id="0">
    <w:p w14:paraId="4CB87D79" w14:textId="77777777" w:rsidR="000D5436" w:rsidRDefault="000D5436" w:rsidP="001C6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33A9" w14:textId="3B06C117" w:rsidR="00586378" w:rsidRPr="00F13D6A" w:rsidRDefault="00586378" w:rsidP="009D1F5F">
    <w:pPr>
      <w:spacing w:line="360" w:lineRule="auto"/>
      <w:jc w:val="right"/>
      <w:rPr>
        <w:lang w:val="en-US"/>
      </w:rPr>
    </w:pPr>
    <w:r>
      <w:rPr>
        <w:noProof/>
      </w:rPr>
      <w:drawing>
        <wp:inline distT="0" distB="0" distL="0" distR="0" wp14:anchorId="59ED8CE9" wp14:editId="6C8EBD72">
          <wp:extent cx="1335405" cy="57277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5405" cy="572770"/>
                  </a:xfrm>
                  <a:prstGeom prst="rect">
                    <a:avLst/>
                  </a:prstGeom>
                  <a:noFill/>
                </pic:spPr>
              </pic:pic>
            </a:graphicData>
          </a:graphic>
        </wp:inline>
      </w:drawing>
    </w:r>
    <w:r w:rsidRPr="00977FA2">
      <w:rPr>
        <w:lang w:val="en-US"/>
      </w:rPr>
      <w:t xml:space="preserve"> </w:t>
    </w:r>
  </w:p>
  <w:p w14:paraId="063289BF" w14:textId="758308CC" w:rsidR="00586378" w:rsidRPr="00634E52" w:rsidRDefault="00586378" w:rsidP="00634E52">
    <w:pPr>
      <w:spacing w:line="360" w:lineRule="auto"/>
      <w:jc w:val="both"/>
      <w:rPr>
        <w:rFonts w:ascii="Arial" w:eastAsia="Times New Roman" w:hAnsi="Arial" w:cs="Arial"/>
        <w:b/>
        <w:spacing w:val="30"/>
        <w:lang w:val="pl-PL"/>
      </w:rPr>
    </w:pPr>
    <w:r w:rsidRPr="008A6E65">
      <w:rPr>
        <w:rFonts w:ascii="Arial" w:eastAsia="Times New Roman" w:hAnsi="Arial" w:cs="Arial"/>
        <w:b/>
        <w:spacing w:val="30"/>
        <w:lang w:val="pl-PL"/>
      </w:rPr>
      <w:t xml:space="preserve">P </w:t>
    </w:r>
    <w:r>
      <w:rPr>
        <w:rFonts w:ascii="Arial" w:eastAsia="Times New Roman" w:hAnsi="Arial" w:cs="Arial"/>
        <w:b/>
        <w:spacing w:val="30"/>
        <w:lang w:val="pl-PL"/>
      </w:rPr>
      <w:t>r e s s e i n f o r m a t i o n</w:t>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r>
      <w:rPr>
        <w:rFonts w:ascii="Arial" w:eastAsia="Times New Roman" w:hAnsi="Arial" w:cs="Arial"/>
        <w:b/>
        <w:spacing w:val="30"/>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A86C6C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F969AE"/>
    <w:multiLevelType w:val="hybridMultilevel"/>
    <w:tmpl w:val="30F8F678"/>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2" w15:restartNumberingAfterBreak="0">
    <w:nsid w:val="0D4679C3"/>
    <w:multiLevelType w:val="hybridMultilevel"/>
    <w:tmpl w:val="61D6C8F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DC22896"/>
    <w:multiLevelType w:val="hybridMultilevel"/>
    <w:tmpl w:val="3C7E24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0303F3"/>
    <w:multiLevelType w:val="hybridMultilevel"/>
    <w:tmpl w:val="C2ACECBA"/>
    <w:lvl w:ilvl="0" w:tplc="2AE6370A">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345CB0"/>
    <w:multiLevelType w:val="hybridMultilevel"/>
    <w:tmpl w:val="43B835D0"/>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61A843D5"/>
    <w:multiLevelType w:val="hybridMultilevel"/>
    <w:tmpl w:val="105AB5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2F"/>
    <w:rsid w:val="00002365"/>
    <w:rsid w:val="0000595B"/>
    <w:rsid w:val="00025549"/>
    <w:rsid w:val="00025C6B"/>
    <w:rsid w:val="00034563"/>
    <w:rsid w:val="00051D2B"/>
    <w:rsid w:val="00056CAC"/>
    <w:rsid w:val="00061967"/>
    <w:rsid w:val="000A039E"/>
    <w:rsid w:val="000A1E83"/>
    <w:rsid w:val="000A243F"/>
    <w:rsid w:val="000A44BB"/>
    <w:rsid w:val="000B4BE9"/>
    <w:rsid w:val="000C0DD8"/>
    <w:rsid w:val="000D5436"/>
    <w:rsid w:val="000F7BD7"/>
    <w:rsid w:val="00101C62"/>
    <w:rsid w:val="00107735"/>
    <w:rsid w:val="0011099D"/>
    <w:rsid w:val="0012047D"/>
    <w:rsid w:val="00121804"/>
    <w:rsid w:val="001452A5"/>
    <w:rsid w:val="001519F3"/>
    <w:rsid w:val="001546B8"/>
    <w:rsid w:val="00172DC2"/>
    <w:rsid w:val="001736F1"/>
    <w:rsid w:val="00177247"/>
    <w:rsid w:val="0018352B"/>
    <w:rsid w:val="001862B6"/>
    <w:rsid w:val="001A076B"/>
    <w:rsid w:val="001A1F8F"/>
    <w:rsid w:val="001A336E"/>
    <w:rsid w:val="001B06F3"/>
    <w:rsid w:val="001C2FF0"/>
    <w:rsid w:val="001C644A"/>
    <w:rsid w:val="001D4A8B"/>
    <w:rsid w:val="001D5F06"/>
    <w:rsid w:val="001E1379"/>
    <w:rsid w:val="001E1ECD"/>
    <w:rsid w:val="001E222E"/>
    <w:rsid w:val="001E494D"/>
    <w:rsid w:val="001E50A5"/>
    <w:rsid w:val="001F4A2F"/>
    <w:rsid w:val="00201898"/>
    <w:rsid w:val="0020308B"/>
    <w:rsid w:val="002118BD"/>
    <w:rsid w:val="0021700F"/>
    <w:rsid w:val="002177A3"/>
    <w:rsid w:val="0022215F"/>
    <w:rsid w:val="00223175"/>
    <w:rsid w:val="002814ED"/>
    <w:rsid w:val="002B35FD"/>
    <w:rsid w:val="002C0DDA"/>
    <w:rsid w:val="002C25E1"/>
    <w:rsid w:val="003020B2"/>
    <w:rsid w:val="0031207D"/>
    <w:rsid w:val="003139DD"/>
    <w:rsid w:val="0032640D"/>
    <w:rsid w:val="00334965"/>
    <w:rsid w:val="00335A01"/>
    <w:rsid w:val="00337EE5"/>
    <w:rsid w:val="00347AE9"/>
    <w:rsid w:val="00352951"/>
    <w:rsid w:val="00367D57"/>
    <w:rsid w:val="00381D1D"/>
    <w:rsid w:val="00384EA6"/>
    <w:rsid w:val="00385807"/>
    <w:rsid w:val="003A0A2D"/>
    <w:rsid w:val="003A5012"/>
    <w:rsid w:val="003C203F"/>
    <w:rsid w:val="003C69C1"/>
    <w:rsid w:val="003D7998"/>
    <w:rsid w:val="003E3AE9"/>
    <w:rsid w:val="003F1AFA"/>
    <w:rsid w:val="0042054E"/>
    <w:rsid w:val="004205C3"/>
    <w:rsid w:val="00421377"/>
    <w:rsid w:val="00422860"/>
    <w:rsid w:val="0043139B"/>
    <w:rsid w:val="00450EC8"/>
    <w:rsid w:val="004512AE"/>
    <w:rsid w:val="004602C9"/>
    <w:rsid w:val="004605FA"/>
    <w:rsid w:val="00474572"/>
    <w:rsid w:val="00492508"/>
    <w:rsid w:val="004A1CBB"/>
    <w:rsid w:val="004A3FB3"/>
    <w:rsid w:val="004A6144"/>
    <w:rsid w:val="004B1F38"/>
    <w:rsid w:val="004C78F5"/>
    <w:rsid w:val="004D718B"/>
    <w:rsid w:val="004E119C"/>
    <w:rsid w:val="004E1E84"/>
    <w:rsid w:val="004E646D"/>
    <w:rsid w:val="004F694C"/>
    <w:rsid w:val="005179F7"/>
    <w:rsid w:val="005206F5"/>
    <w:rsid w:val="005237DA"/>
    <w:rsid w:val="005437F2"/>
    <w:rsid w:val="00545BB5"/>
    <w:rsid w:val="0054626E"/>
    <w:rsid w:val="00547223"/>
    <w:rsid w:val="0055042D"/>
    <w:rsid w:val="005506C8"/>
    <w:rsid w:val="00571567"/>
    <w:rsid w:val="00574997"/>
    <w:rsid w:val="00586378"/>
    <w:rsid w:val="00591F51"/>
    <w:rsid w:val="00594651"/>
    <w:rsid w:val="005952AD"/>
    <w:rsid w:val="005953C8"/>
    <w:rsid w:val="005954AB"/>
    <w:rsid w:val="005A454E"/>
    <w:rsid w:val="005A6CB4"/>
    <w:rsid w:val="005A783F"/>
    <w:rsid w:val="005B05DE"/>
    <w:rsid w:val="005B081E"/>
    <w:rsid w:val="005B222F"/>
    <w:rsid w:val="005B3736"/>
    <w:rsid w:val="005B7C1A"/>
    <w:rsid w:val="005D179B"/>
    <w:rsid w:val="005D30DB"/>
    <w:rsid w:val="005E77A2"/>
    <w:rsid w:val="005F0B83"/>
    <w:rsid w:val="005F16C1"/>
    <w:rsid w:val="005F1C44"/>
    <w:rsid w:val="005F3FA6"/>
    <w:rsid w:val="00610F78"/>
    <w:rsid w:val="0061124C"/>
    <w:rsid w:val="00611E9E"/>
    <w:rsid w:val="006150B0"/>
    <w:rsid w:val="006232F2"/>
    <w:rsid w:val="006323DD"/>
    <w:rsid w:val="00634E52"/>
    <w:rsid w:val="006353EC"/>
    <w:rsid w:val="00636E54"/>
    <w:rsid w:val="006432D6"/>
    <w:rsid w:val="006436DB"/>
    <w:rsid w:val="00653553"/>
    <w:rsid w:val="00661B29"/>
    <w:rsid w:val="0068795E"/>
    <w:rsid w:val="00696CAB"/>
    <w:rsid w:val="00696FDF"/>
    <w:rsid w:val="006C0B72"/>
    <w:rsid w:val="006D3AFD"/>
    <w:rsid w:val="006D6152"/>
    <w:rsid w:val="006D7957"/>
    <w:rsid w:val="006E6F7C"/>
    <w:rsid w:val="006F3293"/>
    <w:rsid w:val="006F4485"/>
    <w:rsid w:val="007112F5"/>
    <w:rsid w:val="00727CAA"/>
    <w:rsid w:val="00730632"/>
    <w:rsid w:val="0074632C"/>
    <w:rsid w:val="0074702F"/>
    <w:rsid w:val="0075119C"/>
    <w:rsid w:val="00774D61"/>
    <w:rsid w:val="007825FD"/>
    <w:rsid w:val="0079306D"/>
    <w:rsid w:val="007969D3"/>
    <w:rsid w:val="007C14C9"/>
    <w:rsid w:val="007E34A4"/>
    <w:rsid w:val="007E458A"/>
    <w:rsid w:val="007F2DD8"/>
    <w:rsid w:val="007F30F9"/>
    <w:rsid w:val="007F6074"/>
    <w:rsid w:val="00811F2B"/>
    <w:rsid w:val="00824E4C"/>
    <w:rsid w:val="008276CC"/>
    <w:rsid w:val="0083757F"/>
    <w:rsid w:val="00854737"/>
    <w:rsid w:val="00881041"/>
    <w:rsid w:val="0088608F"/>
    <w:rsid w:val="00894997"/>
    <w:rsid w:val="008A64A8"/>
    <w:rsid w:val="008B4CC4"/>
    <w:rsid w:val="008C4B97"/>
    <w:rsid w:val="008D0CAF"/>
    <w:rsid w:val="008D7C9A"/>
    <w:rsid w:val="008F28A5"/>
    <w:rsid w:val="008F398F"/>
    <w:rsid w:val="00904AAC"/>
    <w:rsid w:val="00915287"/>
    <w:rsid w:val="00927250"/>
    <w:rsid w:val="00927EDB"/>
    <w:rsid w:val="00932E8C"/>
    <w:rsid w:val="00933A87"/>
    <w:rsid w:val="00935A10"/>
    <w:rsid w:val="00941600"/>
    <w:rsid w:val="009436D4"/>
    <w:rsid w:val="00946499"/>
    <w:rsid w:val="00963985"/>
    <w:rsid w:val="00964A09"/>
    <w:rsid w:val="00970550"/>
    <w:rsid w:val="00975113"/>
    <w:rsid w:val="00977FA2"/>
    <w:rsid w:val="0098496F"/>
    <w:rsid w:val="00990C15"/>
    <w:rsid w:val="00992D6C"/>
    <w:rsid w:val="00993F65"/>
    <w:rsid w:val="0099561B"/>
    <w:rsid w:val="00997688"/>
    <w:rsid w:val="009A38D8"/>
    <w:rsid w:val="009A5613"/>
    <w:rsid w:val="009A6737"/>
    <w:rsid w:val="009B4625"/>
    <w:rsid w:val="009C6C87"/>
    <w:rsid w:val="009D18EF"/>
    <w:rsid w:val="009D1F5F"/>
    <w:rsid w:val="009E1840"/>
    <w:rsid w:val="009E1951"/>
    <w:rsid w:val="009E2819"/>
    <w:rsid w:val="009F1176"/>
    <w:rsid w:val="009F523A"/>
    <w:rsid w:val="00A01CC8"/>
    <w:rsid w:val="00A021A5"/>
    <w:rsid w:val="00A33150"/>
    <w:rsid w:val="00A34EE8"/>
    <w:rsid w:val="00A416A8"/>
    <w:rsid w:val="00A454E2"/>
    <w:rsid w:val="00A45604"/>
    <w:rsid w:val="00A46376"/>
    <w:rsid w:val="00A469A7"/>
    <w:rsid w:val="00A50AAA"/>
    <w:rsid w:val="00A52E94"/>
    <w:rsid w:val="00A66E76"/>
    <w:rsid w:val="00A74330"/>
    <w:rsid w:val="00A82F92"/>
    <w:rsid w:val="00AA2C2D"/>
    <w:rsid w:val="00AB05CE"/>
    <w:rsid w:val="00AB529F"/>
    <w:rsid w:val="00AC5982"/>
    <w:rsid w:val="00AC7945"/>
    <w:rsid w:val="00AC7D2A"/>
    <w:rsid w:val="00AD1D10"/>
    <w:rsid w:val="00AD7538"/>
    <w:rsid w:val="00AE0172"/>
    <w:rsid w:val="00AE1261"/>
    <w:rsid w:val="00B01DD0"/>
    <w:rsid w:val="00B05AE6"/>
    <w:rsid w:val="00B073A8"/>
    <w:rsid w:val="00B269DA"/>
    <w:rsid w:val="00B26BB0"/>
    <w:rsid w:val="00B30C15"/>
    <w:rsid w:val="00B462F1"/>
    <w:rsid w:val="00B47A99"/>
    <w:rsid w:val="00B611CB"/>
    <w:rsid w:val="00B6158E"/>
    <w:rsid w:val="00B64345"/>
    <w:rsid w:val="00B64D0B"/>
    <w:rsid w:val="00B65D00"/>
    <w:rsid w:val="00B700C5"/>
    <w:rsid w:val="00B76170"/>
    <w:rsid w:val="00B84042"/>
    <w:rsid w:val="00BA0779"/>
    <w:rsid w:val="00BA6E0B"/>
    <w:rsid w:val="00BB4FD3"/>
    <w:rsid w:val="00BD09F8"/>
    <w:rsid w:val="00BF4B4B"/>
    <w:rsid w:val="00C00BA9"/>
    <w:rsid w:val="00C00E69"/>
    <w:rsid w:val="00C16567"/>
    <w:rsid w:val="00C20A25"/>
    <w:rsid w:val="00C25671"/>
    <w:rsid w:val="00C25BBE"/>
    <w:rsid w:val="00C260DB"/>
    <w:rsid w:val="00C319C1"/>
    <w:rsid w:val="00C55399"/>
    <w:rsid w:val="00C55EDC"/>
    <w:rsid w:val="00C57486"/>
    <w:rsid w:val="00C614B0"/>
    <w:rsid w:val="00C66C6A"/>
    <w:rsid w:val="00C96363"/>
    <w:rsid w:val="00CA53C6"/>
    <w:rsid w:val="00CA66D0"/>
    <w:rsid w:val="00CB6903"/>
    <w:rsid w:val="00CF1209"/>
    <w:rsid w:val="00D01F6B"/>
    <w:rsid w:val="00D2721F"/>
    <w:rsid w:val="00D35F11"/>
    <w:rsid w:val="00D436DC"/>
    <w:rsid w:val="00D52325"/>
    <w:rsid w:val="00D56081"/>
    <w:rsid w:val="00D6262D"/>
    <w:rsid w:val="00D71DE3"/>
    <w:rsid w:val="00D81495"/>
    <w:rsid w:val="00DA15C7"/>
    <w:rsid w:val="00DA3E52"/>
    <w:rsid w:val="00DF1EBF"/>
    <w:rsid w:val="00DF542E"/>
    <w:rsid w:val="00E029F6"/>
    <w:rsid w:val="00E12E99"/>
    <w:rsid w:val="00E16623"/>
    <w:rsid w:val="00E358A1"/>
    <w:rsid w:val="00E40493"/>
    <w:rsid w:val="00E42BC9"/>
    <w:rsid w:val="00E45B40"/>
    <w:rsid w:val="00E45D23"/>
    <w:rsid w:val="00E55D4A"/>
    <w:rsid w:val="00E663A0"/>
    <w:rsid w:val="00E70AF8"/>
    <w:rsid w:val="00E70C16"/>
    <w:rsid w:val="00E81C09"/>
    <w:rsid w:val="00E8646A"/>
    <w:rsid w:val="00E87E34"/>
    <w:rsid w:val="00E9155D"/>
    <w:rsid w:val="00EA32C9"/>
    <w:rsid w:val="00EA7CBF"/>
    <w:rsid w:val="00EB2787"/>
    <w:rsid w:val="00EB3EC7"/>
    <w:rsid w:val="00EB4DB6"/>
    <w:rsid w:val="00EE5275"/>
    <w:rsid w:val="00EF7C7B"/>
    <w:rsid w:val="00F13D6A"/>
    <w:rsid w:val="00F1408E"/>
    <w:rsid w:val="00F23052"/>
    <w:rsid w:val="00F24CF7"/>
    <w:rsid w:val="00F333FC"/>
    <w:rsid w:val="00F553A8"/>
    <w:rsid w:val="00F56E02"/>
    <w:rsid w:val="00F6511E"/>
    <w:rsid w:val="00F70363"/>
    <w:rsid w:val="00F72954"/>
    <w:rsid w:val="00F76BFC"/>
    <w:rsid w:val="00F802ED"/>
    <w:rsid w:val="00F94F9E"/>
    <w:rsid w:val="00F96827"/>
    <w:rsid w:val="00FB6576"/>
    <w:rsid w:val="00FD35EC"/>
    <w:rsid w:val="00FD4036"/>
    <w:rsid w:val="00FD54F9"/>
    <w:rsid w:val="00FD5615"/>
    <w:rsid w:val="00F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A1E24"/>
  <w15:docId w15:val="{EA17F9B0-9C50-4F7D-9227-24311142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5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F968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4A2F"/>
    <w:rPr>
      <w:color w:val="0000FF"/>
      <w:u w:val="single"/>
    </w:rPr>
  </w:style>
  <w:style w:type="paragraph" w:styleId="Listenabsatz">
    <w:name w:val="List Paragraph"/>
    <w:basedOn w:val="Standard"/>
    <w:uiPriority w:val="34"/>
    <w:qFormat/>
    <w:rsid w:val="001F4A2F"/>
    <w:pPr>
      <w:spacing w:after="0" w:line="240" w:lineRule="auto"/>
      <w:ind w:left="720"/>
    </w:pPr>
    <w:rPr>
      <w:rFonts w:ascii="Calibri" w:hAnsi="Calibri" w:cs="Times New Roman"/>
    </w:rPr>
  </w:style>
  <w:style w:type="paragraph" w:styleId="StandardWeb">
    <w:name w:val="Normal (Web)"/>
    <w:basedOn w:val="Standard"/>
    <w:uiPriority w:val="99"/>
    <w:unhideWhenUsed/>
    <w:rsid w:val="001F4A2F"/>
    <w:pPr>
      <w:spacing w:before="100" w:beforeAutospacing="1" w:after="100" w:afterAutospacing="1" w:line="240" w:lineRule="auto"/>
    </w:pPr>
    <w:rPr>
      <w:rFonts w:ascii="Times New Roman" w:eastAsia="Times New Roman" w:hAnsi="Times New Roman" w:cs="Times New Roman"/>
      <w:sz w:val="24"/>
      <w:szCs w:val="24"/>
    </w:rPr>
  </w:style>
  <w:style w:type="paragraph" w:styleId="Kopfzeile">
    <w:name w:val="header"/>
    <w:basedOn w:val="Standard"/>
    <w:link w:val="KopfzeileZchn"/>
    <w:uiPriority w:val="99"/>
    <w:unhideWhenUsed/>
    <w:rsid w:val="001C64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644A"/>
  </w:style>
  <w:style w:type="paragraph" w:styleId="Fuzeile">
    <w:name w:val="footer"/>
    <w:basedOn w:val="Standard"/>
    <w:link w:val="FuzeileZchn"/>
    <w:uiPriority w:val="99"/>
    <w:unhideWhenUsed/>
    <w:rsid w:val="001C64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644A"/>
  </w:style>
  <w:style w:type="paragraph" w:styleId="Sprechblasentext">
    <w:name w:val="Balloon Text"/>
    <w:basedOn w:val="Standard"/>
    <w:link w:val="SprechblasentextZchn"/>
    <w:uiPriority w:val="99"/>
    <w:semiHidden/>
    <w:unhideWhenUsed/>
    <w:rsid w:val="001C64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644A"/>
    <w:rPr>
      <w:rFonts w:ascii="Tahoma" w:hAnsi="Tahoma" w:cs="Tahoma"/>
      <w:sz w:val="16"/>
      <w:szCs w:val="16"/>
    </w:rPr>
  </w:style>
  <w:style w:type="paragraph" w:customStyle="1" w:styleId="Default">
    <w:name w:val="Default"/>
    <w:rsid w:val="00D6262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A01CC8"/>
    <w:rPr>
      <w:sz w:val="16"/>
      <w:szCs w:val="16"/>
    </w:rPr>
  </w:style>
  <w:style w:type="paragraph" w:styleId="Kommentartext">
    <w:name w:val="annotation text"/>
    <w:basedOn w:val="Standard"/>
    <w:link w:val="KommentartextZchn"/>
    <w:uiPriority w:val="99"/>
    <w:semiHidden/>
    <w:unhideWhenUsed/>
    <w:rsid w:val="00A01CC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1CC8"/>
    <w:rPr>
      <w:sz w:val="20"/>
      <w:szCs w:val="20"/>
    </w:rPr>
  </w:style>
  <w:style w:type="paragraph" w:styleId="Kommentarthema">
    <w:name w:val="annotation subject"/>
    <w:basedOn w:val="Kommentartext"/>
    <w:next w:val="Kommentartext"/>
    <w:link w:val="KommentarthemaZchn"/>
    <w:uiPriority w:val="99"/>
    <w:semiHidden/>
    <w:unhideWhenUsed/>
    <w:rsid w:val="00A01CC8"/>
    <w:rPr>
      <w:b/>
      <w:bCs/>
    </w:rPr>
  </w:style>
  <w:style w:type="character" w:customStyle="1" w:styleId="KommentarthemaZchn">
    <w:name w:val="Kommentarthema Zchn"/>
    <w:basedOn w:val="KommentartextZchn"/>
    <w:link w:val="Kommentarthema"/>
    <w:uiPriority w:val="99"/>
    <w:semiHidden/>
    <w:rsid w:val="00A01CC8"/>
    <w:rPr>
      <w:b/>
      <w:bCs/>
      <w:sz w:val="20"/>
      <w:szCs w:val="20"/>
    </w:rPr>
  </w:style>
  <w:style w:type="character" w:customStyle="1" w:styleId="berschrift2Zchn">
    <w:name w:val="Überschrift 2 Zchn"/>
    <w:basedOn w:val="Absatz-Standardschriftart"/>
    <w:link w:val="berschrift2"/>
    <w:uiPriority w:val="9"/>
    <w:rsid w:val="00F96827"/>
    <w:rPr>
      <w:rFonts w:ascii="Times New Roman" w:eastAsia="Times New Roman" w:hAnsi="Times New Roman" w:cs="Times New Roman"/>
      <w:b/>
      <w:bCs/>
      <w:sz w:val="36"/>
      <w:szCs w:val="36"/>
    </w:rPr>
  </w:style>
  <w:style w:type="character" w:styleId="Fett">
    <w:name w:val="Strong"/>
    <w:basedOn w:val="Absatz-Standardschriftart"/>
    <w:uiPriority w:val="22"/>
    <w:qFormat/>
    <w:rsid w:val="00574997"/>
    <w:rPr>
      <w:b/>
      <w:bCs/>
    </w:rPr>
  </w:style>
  <w:style w:type="paragraph" w:styleId="Aufzhlungszeichen">
    <w:name w:val="List Bullet"/>
    <w:aliases w:val="Aufzählung"/>
    <w:basedOn w:val="Standard"/>
    <w:autoRedefine/>
    <w:semiHidden/>
    <w:rsid w:val="00AD7538"/>
    <w:pPr>
      <w:numPr>
        <w:numId w:val="4"/>
      </w:numPr>
      <w:spacing w:after="0" w:line="240" w:lineRule="auto"/>
    </w:pPr>
    <w:rPr>
      <w:rFonts w:ascii="Arial" w:eastAsia="Times" w:hAnsi="Arial" w:cs="Times New Roman"/>
      <w:sz w:val="18"/>
      <w:szCs w:val="20"/>
    </w:rPr>
  </w:style>
  <w:style w:type="paragraph" w:customStyle="1" w:styleId="Subhead2">
    <w:name w:val="Subhead 2"/>
    <w:basedOn w:val="berschrift2"/>
    <w:rsid w:val="00AD7538"/>
    <w:pPr>
      <w:keepNext/>
      <w:spacing w:before="240" w:beforeAutospacing="0" w:after="60" w:afterAutospacing="0"/>
    </w:pPr>
    <w:rPr>
      <w:rFonts w:ascii="Arial" w:eastAsia="Times" w:hAnsi="Arial"/>
      <w:b w:val="0"/>
      <w:bCs w:val="0"/>
      <w:sz w:val="22"/>
      <w:szCs w:val="20"/>
    </w:rPr>
  </w:style>
  <w:style w:type="character" w:customStyle="1" w:styleId="berschrift1Zchn">
    <w:name w:val="Überschrift 1 Zchn"/>
    <w:basedOn w:val="Absatz-Standardschriftart"/>
    <w:link w:val="berschrift1"/>
    <w:uiPriority w:val="9"/>
    <w:rsid w:val="00C55EDC"/>
    <w:rPr>
      <w:rFonts w:asciiTheme="majorHAnsi" w:eastAsiaTheme="majorEastAsia" w:hAnsiTheme="majorHAnsi" w:cstheme="majorBidi"/>
      <w:b/>
      <w:bCs/>
      <w:color w:val="365F91" w:themeColor="accent1" w:themeShade="BF"/>
      <w:sz w:val="28"/>
      <w:szCs w:val="28"/>
    </w:rPr>
  </w:style>
  <w:style w:type="character" w:styleId="NichtaufgelsteErwhnung">
    <w:name w:val="Unresolved Mention"/>
    <w:basedOn w:val="Absatz-Standardschriftart"/>
    <w:uiPriority w:val="99"/>
    <w:semiHidden/>
    <w:unhideWhenUsed/>
    <w:rsid w:val="00992D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60097">
      <w:bodyDiv w:val="1"/>
      <w:marLeft w:val="0"/>
      <w:marRight w:val="0"/>
      <w:marTop w:val="0"/>
      <w:marBottom w:val="0"/>
      <w:divBdr>
        <w:top w:val="none" w:sz="0" w:space="0" w:color="auto"/>
        <w:left w:val="none" w:sz="0" w:space="0" w:color="auto"/>
        <w:bottom w:val="none" w:sz="0" w:space="0" w:color="auto"/>
        <w:right w:val="none" w:sz="0" w:space="0" w:color="auto"/>
      </w:divBdr>
    </w:div>
    <w:div w:id="63260248">
      <w:bodyDiv w:val="1"/>
      <w:marLeft w:val="0"/>
      <w:marRight w:val="0"/>
      <w:marTop w:val="0"/>
      <w:marBottom w:val="0"/>
      <w:divBdr>
        <w:top w:val="none" w:sz="0" w:space="0" w:color="auto"/>
        <w:left w:val="none" w:sz="0" w:space="0" w:color="auto"/>
        <w:bottom w:val="none" w:sz="0" w:space="0" w:color="auto"/>
        <w:right w:val="none" w:sz="0" w:space="0" w:color="auto"/>
      </w:divBdr>
    </w:div>
    <w:div w:id="103578886">
      <w:bodyDiv w:val="1"/>
      <w:marLeft w:val="0"/>
      <w:marRight w:val="0"/>
      <w:marTop w:val="0"/>
      <w:marBottom w:val="0"/>
      <w:divBdr>
        <w:top w:val="none" w:sz="0" w:space="0" w:color="auto"/>
        <w:left w:val="none" w:sz="0" w:space="0" w:color="auto"/>
        <w:bottom w:val="none" w:sz="0" w:space="0" w:color="auto"/>
        <w:right w:val="none" w:sz="0" w:space="0" w:color="auto"/>
      </w:divBdr>
    </w:div>
    <w:div w:id="108817737">
      <w:bodyDiv w:val="1"/>
      <w:marLeft w:val="0"/>
      <w:marRight w:val="0"/>
      <w:marTop w:val="0"/>
      <w:marBottom w:val="0"/>
      <w:divBdr>
        <w:top w:val="none" w:sz="0" w:space="0" w:color="auto"/>
        <w:left w:val="none" w:sz="0" w:space="0" w:color="auto"/>
        <w:bottom w:val="none" w:sz="0" w:space="0" w:color="auto"/>
        <w:right w:val="none" w:sz="0" w:space="0" w:color="auto"/>
      </w:divBdr>
    </w:div>
    <w:div w:id="120193502">
      <w:bodyDiv w:val="1"/>
      <w:marLeft w:val="0"/>
      <w:marRight w:val="0"/>
      <w:marTop w:val="0"/>
      <w:marBottom w:val="0"/>
      <w:divBdr>
        <w:top w:val="none" w:sz="0" w:space="0" w:color="auto"/>
        <w:left w:val="none" w:sz="0" w:space="0" w:color="auto"/>
        <w:bottom w:val="none" w:sz="0" w:space="0" w:color="auto"/>
        <w:right w:val="none" w:sz="0" w:space="0" w:color="auto"/>
      </w:divBdr>
    </w:div>
    <w:div w:id="470247932">
      <w:bodyDiv w:val="1"/>
      <w:marLeft w:val="0"/>
      <w:marRight w:val="0"/>
      <w:marTop w:val="0"/>
      <w:marBottom w:val="0"/>
      <w:divBdr>
        <w:top w:val="none" w:sz="0" w:space="0" w:color="auto"/>
        <w:left w:val="none" w:sz="0" w:space="0" w:color="auto"/>
        <w:bottom w:val="none" w:sz="0" w:space="0" w:color="auto"/>
        <w:right w:val="none" w:sz="0" w:space="0" w:color="auto"/>
      </w:divBdr>
    </w:div>
    <w:div w:id="743380369">
      <w:bodyDiv w:val="1"/>
      <w:marLeft w:val="0"/>
      <w:marRight w:val="0"/>
      <w:marTop w:val="0"/>
      <w:marBottom w:val="0"/>
      <w:divBdr>
        <w:top w:val="none" w:sz="0" w:space="0" w:color="auto"/>
        <w:left w:val="none" w:sz="0" w:space="0" w:color="auto"/>
        <w:bottom w:val="none" w:sz="0" w:space="0" w:color="auto"/>
        <w:right w:val="none" w:sz="0" w:space="0" w:color="auto"/>
      </w:divBdr>
    </w:div>
    <w:div w:id="791827073">
      <w:bodyDiv w:val="1"/>
      <w:marLeft w:val="0"/>
      <w:marRight w:val="0"/>
      <w:marTop w:val="0"/>
      <w:marBottom w:val="0"/>
      <w:divBdr>
        <w:top w:val="none" w:sz="0" w:space="0" w:color="auto"/>
        <w:left w:val="none" w:sz="0" w:space="0" w:color="auto"/>
        <w:bottom w:val="none" w:sz="0" w:space="0" w:color="auto"/>
        <w:right w:val="none" w:sz="0" w:space="0" w:color="auto"/>
      </w:divBdr>
      <w:divsChild>
        <w:div w:id="205263994">
          <w:marLeft w:val="0"/>
          <w:marRight w:val="0"/>
          <w:marTop w:val="0"/>
          <w:marBottom w:val="0"/>
          <w:divBdr>
            <w:top w:val="none" w:sz="0" w:space="0" w:color="auto"/>
            <w:left w:val="none" w:sz="0" w:space="0" w:color="auto"/>
            <w:bottom w:val="none" w:sz="0" w:space="0" w:color="auto"/>
            <w:right w:val="none" w:sz="0" w:space="0" w:color="auto"/>
          </w:divBdr>
        </w:div>
        <w:div w:id="695883546">
          <w:marLeft w:val="0"/>
          <w:marRight w:val="0"/>
          <w:marTop w:val="0"/>
          <w:marBottom w:val="0"/>
          <w:divBdr>
            <w:top w:val="none" w:sz="0" w:space="0" w:color="auto"/>
            <w:left w:val="none" w:sz="0" w:space="0" w:color="auto"/>
            <w:bottom w:val="none" w:sz="0" w:space="0" w:color="auto"/>
            <w:right w:val="none" w:sz="0" w:space="0" w:color="auto"/>
          </w:divBdr>
        </w:div>
      </w:divsChild>
    </w:div>
    <w:div w:id="948242365">
      <w:bodyDiv w:val="1"/>
      <w:marLeft w:val="0"/>
      <w:marRight w:val="0"/>
      <w:marTop w:val="0"/>
      <w:marBottom w:val="0"/>
      <w:divBdr>
        <w:top w:val="none" w:sz="0" w:space="0" w:color="auto"/>
        <w:left w:val="none" w:sz="0" w:space="0" w:color="auto"/>
        <w:bottom w:val="none" w:sz="0" w:space="0" w:color="auto"/>
        <w:right w:val="none" w:sz="0" w:space="0" w:color="auto"/>
      </w:divBdr>
    </w:div>
    <w:div w:id="1074283780">
      <w:bodyDiv w:val="1"/>
      <w:marLeft w:val="0"/>
      <w:marRight w:val="0"/>
      <w:marTop w:val="0"/>
      <w:marBottom w:val="0"/>
      <w:divBdr>
        <w:top w:val="none" w:sz="0" w:space="0" w:color="auto"/>
        <w:left w:val="none" w:sz="0" w:space="0" w:color="auto"/>
        <w:bottom w:val="none" w:sz="0" w:space="0" w:color="auto"/>
        <w:right w:val="none" w:sz="0" w:space="0" w:color="auto"/>
      </w:divBdr>
    </w:div>
    <w:div w:id="1239903916">
      <w:bodyDiv w:val="1"/>
      <w:marLeft w:val="0"/>
      <w:marRight w:val="0"/>
      <w:marTop w:val="0"/>
      <w:marBottom w:val="0"/>
      <w:divBdr>
        <w:top w:val="none" w:sz="0" w:space="0" w:color="auto"/>
        <w:left w:val="none" w:sz="0" w:space="0" w:color="auto"/>
        <w:bottom w:val="none" w:sz="0" w:space="0" w:color="auto"/>
        <w:right w:val="none" w:sz="0" w:space="0" w:color="auto"/>
      </w:divBdr>
    </w:div>
    <w:div w:id="1339426134">
      <w:bodyDiv w:val="1"/>
      <w:marLeft w:val="0"/>
      <w:marRight w:val="0"/>
      <w:marTop w:val="0"/>
      <w:marBottom w:val="0"/>
      <w:divBdr>
        <w:top w:val="none" w:sz="0" w:space="0" w:color="auto"/>
        <w:left w:val="none" w:sz="0" w:space="0" w:color="auto"/>
        <w:bottom w:val="none" w:sz="0" w:space="0" w:color="auto"/>
        <w:right w:val="none" w:sz="0" w:space="0" w:color="auto"/>
      </w:divBdr>
    </w:div>
    <w:div w:id="1347095005">
      <w:bodyDiv w:val="1"/>
      <w:marLeft w:val="0"/>
      <w:marRight w:val="0"/>
      <w:marTop w:val="0"/>
      <w:marBottom w:val="0"/>
      <w:divBdr>
        <w:top w:val="none" w:sz="0" w:space="0" w:color="auto"/>
        <w:left w:val="none" w:sz="0" w:space="0" w:color="auto"/>
        <w:bottom w:val="none" w:sz="0" w:space="0" w:color="auto"/>
        <w:right w:val="none" w:sz="0" w:space="0" w:color="auto"/>
      </w:divBdr>
    </w:div>
    <w:div w:id="1528063324">
      <w:bodyDiv w:val="1"/>
      <w:marLeft w:val="0"/>
      <w:marRight w:val="0"/>
      <w:marTop w:val="0"/>
      <w:marBottom w:val="0"/>
      <w:divBdr>
        <w:top w:val="none" w:sz="0" w:space="0" w:color="auto"/>
        <w:left w:val="none" w:sz="0" w:space="0" w:color="auto"/>
        <w:bottom w:val="none" w:sz="0" w:space="0" w:color="auto"/>
        <w:right w:val="none" w:sz="0" w:space="0" w:color="auto"/>
      </w:divBdr>
    </w:div>
    <w:div w:id="1625648588">
      <w:bodyDiv w:val="1"/>
      <w:marLeft w:val="0"/>
      <w:marRight w:val="0"/>
      <w:marTop w:val="0"/>
      <w:marBottom w:val="0"/>
      <w:divBdr>
        <w:top w:val="none" w:sz="0" w:space="0" w:color="auto"/>
        <w:left w:val="none" w:sz="0" w:space="0" w:color="auto"/>
        <w:bottom w:val="none" w:sz="0" w:space="0" w:color="auto"/>
        <w:right w:val="none" w:sz="0" w:space="0" w:color="auto"/>
      </w:divBdr>
    </w:div>
    <w:div w:id="1885555293">
      <w:bodyDiv w:val="1"/>
      <w:marLeft w:val="0"/>
      <w:marRight w:val="0"/>
      <w:marTop w:val="0"/>
      <w:marBottom w:val="0"/>
      <w:divBdr>
        <w:top w:val="none" w:sz="0" w:space="0" w:color="auto"/>
        <w:left w:val="none" w:sz="0" w:space="0" w:color="auto"/>
        <w:bottom w:val="none" w:sz="0" w:space="0" w:color="auto"/>
        <w:right w:val="none" w:sz="0" w:space="0" w:color="auto"/>
      </w:divBdr>
    </w:div>
    <w:div w:id="1889760985">
      <w:bodyDiv w:val="1"/>
      <w:marLeft w:val="0"/>
      <w:marRight w:val="0"/>
      <w:marTop w:val="0"/>
      <w:marBottom w:val="0"/>
      <w:divBdr>
        <w:top w:val="none" w:sz="0" w:space="0" w:color="auto"/>
        <w:left w:val="none" w:sz="0" w:space="0" w:color="auto"/>
        <w:bottom w:val="none" w:sz="0" w:space="0" w:color="auto"/>
        <w:right w:val="none" w:sz="0" w:space="0" w:color="auto"/>
      </w:divBdr>
    </w:div>
    <w:div w:id="1932077444">
      <w:bodyDiv w:val="1"/>
      <w:marLeft w:val="0"/>
      <w:marRight w:val="0"/>
      <w:marTop w:val="0"/>
      <w:marBottom w:val="0"/>
      <w:divBdr>
        <w:top w:val="none" w:sz="0" w:space="0" w:color="auto"/>
        <w:left w:val="none" w:sz="0" w:space="0" w:color="auto"/>
        <w:bottom w:val="none" w:sz="0" w:space="0" w:color="auto"/>
        <w:right w:val="none" w:sz="0" w:space="0" w:color="auto"/>
      </w:divBdr>
    </w:div>
    <w:div w:id="1956718199">
      <w:bodyDiv w:val="1"/>
      <w:marLeft w:val="0"/>
      <w:marRight w:val="0"/>
      <w:marTop w:val="0"/>
      <w:marBottom w:val="0"/>
      <w:divBdr>
        <w:top w:val="none" w:sz="0" w:space="0" w:color="auto"/>
        <w:left w:val="none" w:sz="0" w:space="0" w:color="auto"/>
        <w:bottom w:val="none" w:sz="0" w:space="0" w:color="auto"/>
        <w:right w:val="none" w:sz="0" w:space="0" w:color="auto"/>
      </w:divBdr>
    </w:div>
    <w:div w:id="2005693638">
      <w:bodyDiv w:val="1"/>
      <w:marLeft w:val="0"/>
      <w:marRight w:val="0"/>
      <w:marTop w:val="0"/>
      <w:marBottom w:val="0"/>
      <w:divBdr>
        <w:top w:val="none" w:sz="0" w:space="0" w:color="auto"/>
        <w:left w:val="none" w:sz="0" w:space="0" w:color="auto"/>
        <w:bottom w:val="none" w:sz="0" w:space="0" w:color="auto"/>
        <w:right w:val="none" w:sz="0" w:space="0" w:color="auto"/>
      </w:divBdr>
    </w:div>
    <w:div w:id="2023898757">
      <w:bodyDiv w:val="1"/>
      <w:marLeft w:val="0"/>
      <w:marRight w:val="0"/>
      <w:marTop w:val="0"/>
      <w:marBottom w:val="0"/>
      <w:divBdr>
        <w:top w:val="none" w:sz="0" w:space="0" w:color="auto"/>
        <w:left w:val="none" w:sz="0" w:space="0" w:color="auto"/>
        <w:bottom w:val="none" w:sz="0" w:space="0" w:color="auto"/>
        <w:right w:val="none" w:sz="0" w:space="0" w:color="auto"/>
      </w:divBdr>
    </w:div>
    <w:div w:id="21089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641D0-84A5-48CB-B569-4795C8C82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Beyer</dc:creator>
  <cp:lastModifiedBy>Jenny Kufrej</cp:lastModifiedBy>
  <cp:revision>2</cp:revision>
  <cp:lastPrinted>2018-10-11T06:53:00Z</cp:lastPrinted>
  <dcterms:created xsi:type="dcterms:W3CDTF">2018-10-18T09:30:00Z</dcterms:created>
  <dcterms:modified xsi:type="dcterms:W3CDTF">2018-10-18T09:30:00Z</dcterms:modified>
</cp:coreProperties>
</file>